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490B8C41"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47C83">
        <w:rPr>
          <w:rFonts w:ascii="Arial" w:hAnsi="Arial" w:cs="Arial" w:hint="eastAsia"/>
          <w:b/>
        </w:rPr>
        <w:t>6</w:t>
      </w:r>
      <w:bookmarkStart w:id="0" w:name="_Hlk41145946"/>
      <w:r w:rsidR="00DD4DDC">
        <w:rPr>
          <w:rFonts w:ascii="Arial" w:hAnsi="Arial" w:cs="Arial"/>
          <w:b/>
          <w:bCs/>
        </w:rPr>
        <w:t>bis-e</w:t>
      </w:r>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9C2037">
        <w:rPr>
          <w:rFonts w:ascii="Arial" w:hAnsi="Arial" w:cs="Arial" w:hint="eastAsia"/>
          <w:b/>
          <w:bCs/>
        </w:rPr>
        <w:t>4641</w:t>
      </w:r>
    </w:p>
    <w:p w14:paraId="5D6A7DC3" w14:textId="77777777" w:rsidR="00DD4DDC" w:rsidRPr="006F2997" w:rsidRDefault="00DD4DDC" w:rsidP="00DD4DDC">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03D9AB6B" w14:textId="77777777" w:rsidR="00B71217" w:rsidRPr="00967981" w:rsidRDefault="00B71217" w:rsidP="00B71217">
      <w:pPr>
        <w:tabs>
          <w:tab w:val="left" w:pos="1985"/>
        </w:tabs>
        <w:rPr>
          <w:b/>
          <w:sz w:val="22"/>
        </w:rPr>
      </w:pPr>
    </w:p>
    <w:p w14:paraId="5091D0EE" w14:textId="69F7E3A5"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A4FDB">
        <w:rPr>
          <w:sz w:val="22"/>
        </w:rPr>
        <w:t>5.14</w:t>
      </w:r>
      <w:r w:rsidR="00C54F5D">
        <w:rPr>
          <w:sz w:val="22"/>
        </w:rPr>
        <w:t>.5.</w:t>
      </w:r>
      <w:r w:rsidR="00DA4FDB">
        <w:rPr>
          <w:sz w:val="22"/>
        </w:rPr>
        <w:t>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0E352EC5"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w:t>
      </w:r>
      <w:bookmarkEnd w:id="2"/>
      <w:r w:rsidR="00A67642" w:rsidRPr="00A67642">
        <w:rPr>
          <w:sz w:val="22"/>
        </w:rPr>
        <w:t>Discussion on general demodulation assumptions for ATG</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2EC94167" w14:textId="031A91D3" w:rsidR="00B742D9" w:rsidRDefault="00B742D9"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In last meeting, the scenario, UE pre-compensation assumption, and channel model have been discussed, the WF was approved in [1]. The agreements are as follows for information.</w:t>
      </w:r>
    </w:p>
    <w:tbl>
      <w:tblPr>
        <w:tblStyle w:val="a8"/>
        <w:tblW w:w="0" w:type="auto"/>
        <w:tblLook w:val="04A0" w:firstRow="1" w:lastRow="0" w:firstColumn="1" w:lastColumn="0" w:noHBand="0" w:noVBand="1"/>
      </w:tblPr>
      <w:tblGrid>
        <w:gridCol w:w="9105"/>
      </w:tblGrid>
      <w:tr w:rsidR="00B742D9" w14:paraId="0270D72A" w14:textId="77777777" w:rsidTr="00B742D9">
        <w:tc>
          <w:tcPr>
            <w:tcW w:w="9105" w:type="dxa"/>
          </w:tcPr>
          <w:p w14:paraId="3F3CD914" w14:textId="77777777" w:rsidR="00B742D9" w:rsidRDefault="00B742D9" w:rsidP="00B742D9">
            <w:pPr>
              <w:spacing w:after="60"/>
              <w:rPr>
                <w:b/>
                <w:sz w:val="20"/>
                <w:szCs w:val="20"/>
                <w:u w:val="single"/>
              </w:rPr>
            </w:pPr>
            <w:r w:rsidRPr="00750BC6">
              <w:rPr>
                <w:b/>
                <w:sz w:val="20"/>
                <w:szCs w:val="20"/>
                <w:u w:val="single"/>
                <w:lang w:eastAsia="ko-KR"/>
              </w:rPr>
              <w:t>Issue 1-1-1: Scenario</w:t>
            </w:r>
          </w:p>
          <w:p w14:paraId="03DC0D5E" w14:textId="77777777" w:rsidR="00B742D9" w:rsidRPr="00DE08DC" w:rsidRDefault="00B742D9" w:rsidP="00B742D9">
            <w:pPr>
              <w:spacing w:after="60"/>
              <w:rPr>
                <w:b/>
                <w:sz w:val="20"/>
                <w:szCs w:val="20"/>
              </w:rPr>
            </w:pPr>
            <w:r w:rsidRPr="00DE08DC">
              <w:rPr>
                <w:rFonts w:hint="eastAsia"/>
                <w:b/>
                <w:sz w:val="20"/>
                <w:szCs w:val="20"/>
              </w:rPr>
              <w:t>Agreement:</w:t>
            </w:r>
          </w:p>
          <w:p w14:paraId="2BF975BD" w14:textId="77777777" w:rsidR="00B742D9" w:rsidRPr="004C709E" w:rsidRDefault="00B742D9" w:rsidP="00B742D9">
            <w:pPr>
              <w:numPr>
                <w:ilvl w:val="0"/>
                <w:numId w:val="17"/>
              </w:numPr>
              <w:spacing w:after="60"/>
              <w:rPr>
                <w:rFonts w:eastAsia="宋体"/>
                <w:sz w:val="20"/>
                <w:lang w:val="en-GB"/>
              </w:rPr>
            </w:pPr>
            <w:r w:rsidRPr="004C709E">
              <w:rPr>
                <w:rFonts w:eastAsia="宋体"/>
                <w:sz w:val="20"/>
                <w:lang w:val="en-GB"/>
              </w:rPr>
              <w:t>From ATG demodulation requirements perspective, at least scenario in option 1 shall be considered</w:t>
            </w:r>
          </w:p>
          <w:p w14:paraId="1C269C0B" w14:textId="77777777" w:rsidR="00B742D9" w:rsidRPr="004C709E" w:rsidRDefault="00B742D9" w:rsidP="00B742D9">
            <w:pPr>
              <w:numPr>
                <w:ilvl w:val="1"/>
                <w:numId w:val="17"/>
              </w:numPr>
              <w:spacing w:after="60"/>
              <w:rPr>
                <w:rFonts w:eastAsia="宋体"/>
                <w:sz w:val="20"/>
                <w:lang w:val="en-GB"/>
              </w:rPr>
            </w:pPr>
            <w:r w:rsidRPr="004C709E">
              <w:rPr>
                <w:rFonts w:eastAsia="宋体"/>
                <w:sz w:val="20"/>
                <w:lang w:val="en-GB"/>
              </w:rPr>
              <w:t xml:space="preserve">FFS whether the deployment scenario </w:t>
            </w:r>
            <w:r w:rsidRPr="004C709E">
              <w:rPr>
                <w:rFonts w:eastAsia="宋体" w:hint="eastAsia"/>
                <w:sz w:val="20"/>
                <w:lang w:val="en-GB"/>
              </w:rPr>
              <w:t xml:space="preserve">Figure 2-1(a). </w:t>
            </w:r>
            <w:r w:rsidRPr="004C709E">
              <w:rPr>
                <w:rFonts w:eastAsia="宋体"/>
                <w:sz w:val="20"/>
                <w:lang w:val="en-GB"/>
              </w:rPr>
              <w:t>from option 2 can be considered or not</w:t>
            </w:r>
          </w:p>
          <w:p w14:paraId="1B822DE0" w14:textId="047665A0" w:rsidR="00B742D9" w:rsidRPr="00B742D9" w:rsidRDefault="00B742D9" w:rsidP="00B742D9">
            <w:pPr>
              <w:numPr>
                <w:ilvl w:val="0"/>
                <w:numId w:val="17"/>
              </w:numPr>
              <w:spacing w:after="60"/>
              <w:rPr>
                <w:rFonts w:eastAsia="宋体"/>
                <w:sz w:val="20"/>
                <w:lang w:val="en-GB"/>
              </w:rPr>
            </w:pPr>
            <w:r w:rsidRPr="004C709E">
              <w:rPr>
                <w:rFonts w:eastAsia="宋体"/>
                <w:sz w:val="20"/>
                <w:lang w:val="en-GB"/>
              </w:rPr>
              <w:t>The detailed parameters need to be further discussed</w:t>
            </w:r>
          </w:p>
          <w:p w14:paraId="3DFB11F1" w14:textId="4CDB7E1E" w:rsidR="00B742D9" w:rsidRDefault="00B742D9" w:rsidP="00B742D9">
            <w:pPr>
              <w:spacing w:after="60"/>
              <w:rPr>
                <w:b/>
                <w:sz w:val="20"/>
                <w:szCs w:val="20"/>
                <w:u w:val="single"/>
                <w:lang w:eastAsia="ko-KR"/>
              </w:rPr>
            </w:pPr>
            <w:r w:rsidRPr="00750BC6">
              <w:rPr>
                <w:b/>
                <w:sz w:val="20"/>
                <w:szCs w:val="20"/>
                <w:u w:val="single"/>
                <w:lang w:eastAsia="ko-KR"/>
              </w:rPr>
              <w:t>Issue 1-1-2: UE assumption</w:t>
            </w:r>
          </w:p>
          <w:p w14:paraId="63EC206B" w14:textId="77777777" w:rsidR="00B742D9" w:rsidRPr="00796C39" w:rsidRDefault="00B742D9" w:rsidP="00B742D9">
            <w:pPr>
              <w:spacing w:after="60"/>
              <w:rPr>
                <w:b/>
                <w:iCs/>
                <w:sz w:val="20"/>
                <w:szCs w:val="20"/>
              </w:rPr>
            </w:pPr>
            <w:r w:rsidRPr="00796C39">
              <w:rPr>
                <w:b/>
                <w:iCs/>
                <w:sz w:val="20"/>
                <w:szCs w:val="20"/>
              </w:rPr>
              <w:t>Tentative agreement:</w:t>
            </w:r>
          </w:p>
          <w:p w14:paraId="74A49FDB" w14:textId="77777777" w:rsidR="00B742D9" w:rsidRPr="004C709E" w:rsidRDefault="00B742D9" w:rsidP="00B742D9">
            <w:pPr>
              <w:numPr>
                <w:ilvl w:val="0"/>
                <w:numId w:val="17"/>
              </w:numPr>
              <w:spacing w:after="60"/>
              <w:rPr>
                <w:rFonts w:eastAsia="宋体"/>
                <w:sz w:val="20"/>
                <w:lang w:val="en-GB"/>
              </w:rPr>
            </w:pPr>
            <w:r w:rsidRPr="004C709E">
              <w:rPr>
                <w:rFonts w:eastAsia="宋体"/>
                <w:sz w:val="20"/>
                <w:lang w:val="en-GB"/>
              </w:rPr>
              <w:t xml:space="preserve">Take ATG UE pre-compensation on UL frequency shift and UL timing shift for ATG demodulation as baseline. </w:t>
            </w:r>
          </w:p>
          <w:p w14:paraId="2F44EE25" w14:textId="2E487136" w:rsidR="00B742D9" w:rsidRPr="00B742D9" w:rsidRDefault="00B742D9" w:rsidP="00B742D9">
            <w:pPr>
              <w:numPr>
                <w:ilvl w:val="0"/>
                <w:numId w:val="17"/>
              </w:numPr>
              <w:spacing w:after="60"/>
              <w:rPr>
                <w:rFonts w:eastAsia="宋体"/>
                <w:sz w:val="20"/>
                <w:lang w:val="en-GB"/>
              </w:rPr>
            </w:pPr>
            <w:r w:rsidRPr="004C709E">
              <w:rPr>
                <w:rFonts w:eastAsia="宋体"/>
                <w:sz w:val="20"/>
                <w:lang w:val="en-GB"/>
              </w:rPr>
              <w:t>Take ATG UE compensation on DL frequency shift for ATG demodulation as baseline.</w:t>
            </w:r>
          </w:p>
        </w:tc>
      </w:tr>
    </w:tbl>
    <w:p w14:paraId="5BE11B04" w14:textId="2A9199E2" w:rsidR="00FF3BC6" w:rsidRPr="0038069B" w:rsidRDefault="00B742D9" w:rsidP="0038069B">
      <w:pPr>
        <w:pStyle w:val="afd"/>
        <w:tabs>
          <w:tab w:val="num" w:pos="226"/>
          <w:tab w:val="num" w:pos="284"/>
          <w:tab w:val="left" w:pos="5103"/>
        </w:tabs>
        <w:snapToGrid w:val="0"/>
        <w:spacing w:beforeLines="50" w:before="156"/>
        <w:rPr>
          <w:rFonts w:eastAsia="宋体"/>
          <w:szCs w:val="20"/>
          <w:lang w:eastAsia="zh-CN"/>
        </w:rPr>
      </w:pPr>
      <w:r>
        <w:rPr>
          <w:rFonts w:eastAsia="宋体"/>
          <w:szCs w:val="20"/>
          <w:lang w:eastAsia="zh-CN"/>
        </w:rPr>
        <w:t>In this meeting, we further provide our views on the channel model.</w:t>
      </w:r>
    </w:p>
    <w:p w14:paraId="1C3ABF6E" w14:textId="7D21140B" w:rsidR="00DF4109" w:rsidRDefault="00B742D9" w:rsidP="00AA11C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C</w:t>
      </w:r>
      <w:r>
        <w:rPr>
          <w:rFonts w:ascii="Times New Roman" w:hAnsi="Times New Roman" w:hint="eastAsia"/>
          <w:b w:val="0"/>
          <w:bCs w:val="0"/>
          <w:kern w:val="0"/>
          <w:sz w:val="36"/>
          <w:szCs w:val="36"/>
        </w:rPr>
        <w:t>hannel</w:t>
      </w:r>
      <w:r>
        <w:rPr>
          <w:rFonts w:ascii="Times New Roman" w:hAnsi="Times New Roman"/>
          <w:b w:val="0"/>
          <w:bCs w:val="0"/>
          <w:kern w:val="0"/>
          <w:sz w:val="36"/>
          <w:szCs w:val="36"/>
        </w:rPr>
        <w:t xml:space="preserve"> model</w:t>
      </w:r>
    </w:p>
    <w:p w14:paraId="191DED7A" w14:textId="77777777" w:rsidR="00AA11C3" w:rsidRPr="00AA11C3" w:rsidRDefault="00AA11C3" w:rsidP="00AA11C3">
      <w:pPr>
        <w:spacing w:beforeLines="100" w:before="312"/>
        <w:rPr>
          <w:rFonts w:eastAsia="等线" w:cs="Symbol"/>
          <w:b/>
          <w:i/>
          <w:iCs/>
          <w:sz w:val="20"/>
          <w:u w:val="single"/>
        </w:rPr>
      </w:pPr>
      <w:r w:rsidRPr="00AA11C3">
        <w:rPr>
          <w:rFonts w:eastAsia="等线" w:cs="Symbol"/>
          <w:b/>
          <w:i/>
          <w:iCs/>
          <w:sz w:val="20"/>
          <w:u w:val="single"/>
        </w:rPr>
        <w:t>Issue 1-1-3: Channel model</w:t>
      </w:r>
    </w:p>
    <w:p w14:paraId="2C2C1EB0" w14:textId="77777777" w:rsidR="00AA11C3" w:rsidRPr="00AA11C3" w:rsidRDefault="00AA11C3" w:rsidP="00AA11C3">
      <w:pPr>
        <w:spacing w:after="60"/>
        <w:rPr>
          <w:b/>
          <w:i/>
          <w:iCs/>
          <w:sz w:val="20"/>
          <w:szCs w:val="20"/>
        </w:rPr>
      </w:pPr>
      <w:r w:rsidRPr="00AA11C3">
        <w:rPr>
          <w:rFonts w:hint="eastAsia"/>
          <w:b/>
          <w:i/>
          <w:iCs/>
          <w:sz w:val="20"/>
          <w:szCs w:val="20"/>
        </w:rPr>
        <w:t>Agreement:</w:t>
      </w:r>
    </w:p>
    <w:p w14:paraId="33A216B6" w14:textId="77777777" w:rsidR="00AA11C3" w:rsidRPr="00AA11C3" w:rsidRDefault="00AA11C3" w:rsidP="00AA11C3">
      <w:pPr>
        <w:numPr>
          <w:ilvl w:val="0"/>
          <w:numId w:val="17"/>
        </w:numPr>
        <w:spacing w:after="60"/>
        <w:rPr>
          <w:rFonts w:eastAsia="宋体"/>
          <w:i/>
          <w:iCs/>
          <w:sz w:val="20"/>
          <w:lang w:val="en-GB"/>
        </w:rPr>
      </w:pPr>
      <w:r w:rsidRPr="00AA11C3">
        <w:rPr>
          <w:rFonts w:eastAsia="宋体"/>
          <w:i/>
          <w:iCs/>
          <w:sz w:val="20"/>
          <w:lang w:val="en-GB"/>
        </w:rPr>
        <w:t xml:space="preserve">Candidate channel models for ATG deployment: </w:t>
      </w:r>
    </w:p>
    <w:p w14:paraId="6C4E169C" w14:textId="77777777" w:rsidR="00AA11C3" w:rsidRPr="00AA11C3" w:rsidRDefault="00AA11C3" w:rsidP="00AA11C3">
      <w:pPr>
        <w:numPr>
          <w:ilvl w:val="1"/>
          <w:numId w:val="17"/>
        </w:numPr>
        <w:spacing w:after="60"/>
        <w:rPr>
          <w:rFonts w:eastAsia="宋体"/>
          <w:i/>
          <w:iCs/>
          <w:sz w:val="20"/>
          <w:lang w:val="en-GB"/>
        </w:rPr>
      </w:pPr>
      <w:r w:rsidRPr="00AA11C3">
        <w:rPr>
          <w:rFonts w:eastAsia="宋体"/>
          <w:i/>
          <w:iCs/>
          <w:sz w:val="20"/>
          <w:lang w:val="en-GB"/>
        </w:rPr>
        <w:t xml:space="preserve">Option 1: Single path AWGN channel </w:t>
      </w:r>
    </w:p>
    <w:p w14:paraId="0AC65E5A" w14:textId="77777777" w:rsidR="00AA11C3" w:rsidRPr="00AA11C3" w:rsidRDefault="00AA11C3" w:rsidP="00AA11C3">
      <w:pPr>
        <w:numPr>
          <w:ilvl w:val="1"/>
          <w:numId w:val="17"/>
        </w:numPr>
        <w:spacing w:after="60"/>
        <w:rPr>
          <w:rFonts w:eastAsia="宋体"/>
          <w:i/>
          <w:iCs/>
          <w:sz w:val="20"/>
          <w:lang w:val="en-GB"/>
        </w:rPr>
      </w:pPr>
      <w:r w:rsidRPr="00AA11C3">
        <w:rPr>
          <w:rFonts w:eastAsia="宋体"/>
          <w:i/>
          <w:iCs/>
          <w:sz w:val="20"/>
          <w:lang w:val="en-GB"/>
        </w:rPr>
        <w:t>Option 2: NTN-TDL-C (FFS for the delay spread and K factor)</w:t>
      </w:r>
    </w:p>
    <w:p w14:paraId="771E69F3" w14:textId="77777777" w:rsidR="00AA11C3" w:rsidRPr="00B91817" w:rsidRDefault="00AA11C3" w:rsidP="00AA11C3">
      <w:pPr>
        <w:spacing w:after="120"/>
        <w:jc w:val="center"/>
        <w:rPr>
          <w:rFonts w:eastAsia="宋体"/>
          <w:sz w:val="20"/>
          <w:lang w:val="en-GB"/>
        </w:rPr>
      </w:pPr>
      <w:r>
        <w:rPr>
          <w:noProof/>
        </w:rPr>
        <w:drawing>
          <wp:inline distT="0" distB="0" distL="0" distR="0" wp14:anchorId="21B5E4B5" wp14:editId="1701DC36">
            <wp:extent cx="3414559" cy="11099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6626" cy="1123641"/>
                    </a:xfrm>
                    <a:prstGeom prst="rect">
                      <a:avLst/>
                    </a:prstGeom>
                  </pic:spPr>
                </pic:pic>
              </a:graphicData>
            </a:graphic>
          </wp:inline>
        </w:drawing>
      </w:r>
    </w:p>
    <w:p w14:paraId="64D38583" w14:textId="77777777" w:rsidR="00AA11C3" w:rsidRPr="00B91817" w:rsidRDefault="00AA11C3" w:rsidP="00AA11C3">
      <w:pPr>
        <w:numPr>
          <w:ilvl w:val="0"/>
          <w:numId w:val="17"/>
        </w:numPr>
        <w:spacing w:after="120"/>
        <w:rPr>
          <w:rFonts w:eastAsia="宋体"/>
          <w:sz w:val="20"/>
          <w:lang w:val="en-GB"/>
        </w:rPr>
      </w:pPr>
      <w:r w:rsidRPr="00B91817">
        <w:rPr>
          <w:rFonts w:eastAsia="宋体"/>
          <w:sz w:val="20"/>
          <w:lang w:val="en-GB"/>
        </w:rPr>
        <w:t>Doppler shift assumption: 0.1 ppm</w:t>
      </w:r>
    </w:p>
    <w:p w14:paraId="1DC966E7" w14:textId="6343808D" w:rsidR="003E1A99" w:rsidRDefault="003E1A99" w:rsidP="00297E1D">
      <w:pPr>
        <w:spacing w:before="60"/>
        <w:jc w:val="both"/>
        <w:rPr>
          <w:sz w:val="20"/>
          <w:szCs w:val="20"/>
        </w:rPr>
      </w:pPr>
      <w:r>
        <w:rPr>
          <w:rFonts w:hint="eastAsia"/>
          <w:sz w:val="20"/>
          <w:szCs w:val="20"/>
        </w:rPr>
        <w:t>F</w:t>
      </w:r>
      <w:r>
        <w:rPr>
          <w:sz w:val="20"/>
          <w:szCs w:val="20"/>
        </w:rPr>
        <w:t xml:space="preserve">irst of all, comparing with ideal AWGN channel, we think the fading channel is more </w:t>
      </w:r>
      <w:r>
        <w:rPr>
          <w:rFonts w:hint="eastAsia"/>
          <w:sz w:val="20"/>
          <w:szCs w:val="20"/>
        </w:rPr>
        <w:t>p</w:t>
      </w:r>
      <w:r>
        <w:rPr>
          <w:sz w:val="20"/>
          <w:szCs w:val="20"/>
        </w:rPr>
        <w:t xml:space="preserve">ractical </w:t>
      </w:r>
      <w:r w:rsidR="00C073CD">
        <w:rPr>
          <w:sz w:val="20"/>
          <w:szCs w:val="20"/>
        </w:rPr>
        <w:t>considering the pathloss and ATG deployment scenario, as shown in Figure 1</w:t>
      </w:r>
      <w:r>
        <w:rPr>
          <w:sz w:val="20"/>
          <w:szCs w:val="20"/>
        </w:rPr>
        <w:t>,</w:t>
      </w:r>
      <w:r w:rsidR="00C073CD">
        <w:rPr>
          <w:sz w:val="20"/>
          <w:szCs w:val="20"/>
        </w:rPr>
        <w:t xml:space="preserve"> </w:t>
      </w:r>
      <w:r>
        <w:rPr>
          <w:sz w:val="20"/>
          <w:szCs w:val="20"/>
        </w:rPr>
        <w:t>Option 2 can be the starting point.</w:t>
      </w:r>
    </w:p>
    <w:p w14:paraId="2FA79045" w14:textId="01D04D2F" w:rsidR="00FA2A67" w:rsidRDefault="00FA2A67" w:rsidP="00FA2A67">
      <w:pPr>
        <w:spacing w:before="60"/>
        <w:jc w:val="center"/>
        <w:rPr>
          <w:sz w:val="20"/>
          <w:szCs w:val="20"/>
        </w:rPr>
      </w:pPr>
      <w:r>
        <w:rPr>
          <w:noProof/>
        </w:rPr>
        <w:lastRenderedPageBreak/>
        <w:drawing>
          <wp:inline distT="0" distB="0" distL="0" distR="0" wp14:anchorId="37B77949" wp14:editId="00AE493E">
            <wp:extent cx="4496779" cy="22122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8219" cy="2222755"/>
                    </a:xfrm>
                    <a:prstGeom prst="rect">
                      <a:avLst/>
                    </a:prstGeom>
                    <a:noFill/>
                    <a:ln>
                      <a:noFill/>
                    </a:ln>
                  </pic:spPr>
                </pic:pic>
              </a:graphicData>
            </a:graphic>
          </wp:inline>
        </w:drawing>
      </w:r>
    </w:p>
    <w:p w14:paraId="2F2DA951" w14:textId="05F7C81B" w:rsidR="00FA2A67" w:rsidRDefault="00FA2A67" w:rsidP="00FA2A67">
      <w:pPr>
        <w:spacing w:before="60"/>
        <w:jc w:val="center"/>
        <w:rPr>
          <w:sz w:val="20"/>
          <w:szCs w:val="20"/>
        </w:rPr>
      </w:pPr>
      <w:r>
        <w:rPr>
          <w:rFonts w:hint="eastAsia"/>
          <w:sz w:val="20"/>
          <w:szCs w:val="20"/>
        </w:rPr>
        <w:t>Figure</w:t>
      </w:r>
      <w:r>
        <w:rPr>
          <w:sz w:val="20"/>
          <w:szCs w:val="20"/>
        </w:rPr>
        <w:t xml:space="preserve"> 1. </w:t>
      </w:r>
      <w:r w:rsidR="00DD512A">
        <w:rPr>
          <w:sz w:val="20"/>
          <w:szCs w:val="20"/>
        </w:rPr>
        <w:t xml:space="preserve">A kind of </w:t>
      </w:r>
      <w:r>
        <w:rPr>
          <w:sz w:val="20"/>
          <w:szCs w:val="20"/>
        </w:rPr>
        <w:t>ATG propagation scenario</w:t>
      </w:r>
    </w:p>
    <w:p w14:paraId="5A86A00F" w14:textId="40FC9B14" w:rsidR="00E02940" w:rsidRDefault="00DC0015" w:rsidP="00297E1D">
      <w:pPr>
        <w:spacing w:before="60"/>
        <w:jc w:val="both"/>
        <w:rPr>
          <w:sz w:val="20"/>
          <w:szCs w:val="20"/>
        </w:rPr>
      </w:pPr>
      <w:r>
        <w:rPr>
          <w:rFonts w:hint="eastAsia"/>
          <w:sz w:val="20"/>
          <w:szCs w:val="20"/>
        </w:rPr>
        <w:t>R</w:t>
      </w:r>
      <w:r>
        <w:rPr>
          <w:sz w:val="20"/>
          <w:szCs w:val="20"/>
        </w:rPr>
        <w:t xml:space="preserve">egarding the Delay spread, we think DS=5ns and DS resolution=5ns can be reused for ATG. </w:t>
      </w:r>
    </w:p>
    <w:p w14:paraId="4985D8DF" w14:textId="5D68F60B" w:rsidR="00C5166F" w:rsidRDefault="00E02940" w:rsidP="00297E1D">
      <w:pPr>
        <w:spacing w:before="60"/>
        <w:jc w:val="both"/>
        <w:rPr>
          <w:sz w:val="20"/>
          <w:szCs w:val="20"/>
        </w:rPr>
      </w:pPr>
      <w:r>
        <w:rPr>
          <w:sz w:val="20"/>
          <w:szCs w:val="20"/>
        </w:rPr>
        <w:t>F</w:t>
      </w:r>
      <w:r w:rsidR="00C5166F">
        <w:rPr>
          <w:sz w:val="20"/>
          <w:szCs w:val="20"/>
        </w:rPr>
        <w:t>or the K factor, in NTN channel model, K = 8.5dB, which model the channel between satellite and UE on the ground.</w:t>
      </w:r>
      <w:r w:rsidR="00C5166F">
        <w:rPr>
          <w:rFonts w:hint="eastAsia"/>
          <w:sz w:val="20"/>
          <w:szCs w:val="20"/>
        </w:rPr>
        <w:t xml:space="preserve"> </w:t>
      </w:r>
      <w:r w:rsidR="00C5166F">
        <w:rPr>
          <w:sz w:val="20"/>
          <w:szCs w:val="20"/>
        </w:rPr>
        <w:t xml:space="preserve">However, in ATG scenario, we should model the channel between aircraft and BS/TRP 30m </w:t>
      </w:r>
      <w:r w:rsidR="00C5166F">
        <w:rPr>
          <w:rFonts w:hint="eastAsia"/>
          <w:sz w:val="20"/>
          <w:szCs w:val="20"/>
        </w:rPr>
        <w:t>from</w:t>
      </w:r>
      <w:r w:rsidR="00C5166F">
        <w:rPr>
          <w:sz w:val="20"/>
          <w:szCs w:val="20"/>
        </w:rPr>
        <w:t xml:space="preserve"> the ground, which will decrease a lot of r</w:t>
      </w:r>
      <w:r w:rsidR="00C5166F" w:rsidRPr="00C5166F">
        <w:rPr>
          <w:sz w:val="20"/>
          <w:szCs w:val="20"/>
        </w:rPr>
        <w:t>eflection path</w:t>
      </w:r>
      <w:r w:rsidR="00C5166F">
        <w:rPr>
          <w:sz w:val="20"/>
          <w:szCs w:val="20"/>
        </w:rPr>
        <w:t xml:space="preserve"> caused by buildings and other reflector </w:t>
      </w:r>
      <w:r>
        <w:rPr>
          <w:sz w:val="20"/>
          <w:szCs w:val="20"/>
        </w:rPr>
        <w:t>near</w:t>
      </w:r>
      <w:r w:rsidR="00C5166F">
        <w:rPr>
          <w:sz w:val="20"/>
          <w:szCs w:val="20"/>
        </w:rPr>
        <w:t xml:space="preserve"> the ground. Therefore, we think a larger K can be applied in ATG channel model, for example, K =12dB.</w:t>
      </w:r>
    </w:p>
    <w:p w14:paraId="2F2811A6" w14:textId="05DF1958" w:rsidR="00E02940" w:rsidRPr="00E02940" w:rsidRDefault="00E02940" w:rsidP="00297E1D">
      <w:pPr>
        <w:spacing w:before="60"/>
        <w:jc w:val="both"/>
        <w:rPr>
          <w:b/>
          <w:bCs/>
          <w:i/>
          <w:iCs/>
          <w:sz w:val="20"/>
          <w:szCs w:val="20"/>
        </w:rPr>
      </w:pPr>
      <w:r w:rsidRPr="00E02940">
        <w:rPr>
          <w:rFonts w:hint="eastAsia"/>
          <w:b/>
          <w:bCs/>
          <w:i/>
          <w:iCs/>
          <w:sz w:val="20"/>
          <w:szCs w:val="20"/>
        </w:rPr>
        <w:t>P</w:t>
      </w:r>
      <w:r w:rsidRPr="00E02940">
        <w:rPr>
          <w:b/>
          <w:bCs/>
          <w:i/>
          <w:iCs/>
          <w:sz w:val="20"/>
          <w:szCs w:val="20"/>
        </w:rPr>
        <w:t>roposal 1: Take NTN-TDL-C as the starting point for ATG channel model</w:t>
      </w:r>
    </w:p>
    <w:p w14:paraId="5ADBEA0F" w14:textId="310360E0" w:rsidR="00E02940" w:rsidRPr="00E02940" w:rsidRDefault="00E02940" w:rsidP="00297E1D">
      <w:pPr>
        <w:spacing w:before="60"/>
        <w:jc w:val="both"/>
        <w:rPr>
          <w:b/>
          <w:bCs/>
          <w:i/>
          <w:iCs/>
          <w:sz w:val="20"/>
          <w:szCs w:val="20"/>
        </w:rPr>
      </w:pPr>
      <w:r w:rsidRPr="00E02940">
        <w:rPr>
          <w:rFonts w:hint="eastAsia"/>
          <w:b/>
          <w:bCs/>
          <w:i/>
          <w:iCs/>
          <w:sz w:val="20"/>
          <w:szCs w:val="20"/>
        </w:rPr>
        <w:t>P</w:t>
      </w:r>
      <w:r w:rsidRPr="00E02940">
        <w:rPr>
          <w:b/>
          <w:bCs/>
          <w:i/>
          <w:iCs/>
          <w:sz w:val="20"/>
          <w:szCs w:val="20"/>
        </w:rPr>
        <w:t>roposal 2: Reuse DS=5ns and DS resolution = 5ns for ATG</w:t>
      </w:r>
    </w:p>
    <w:p w14:paraId="69A82C7E" w14:textId="570BA87F" w:rsidR="00E02940" w:rsidRPr="00E02940" w:rsidRDefault="00E02940" w:rsidP="00297E1D">
      <w:pPr>
        <w:spacing w:before="60"/>
        <w:jc w:val="both"/>
        <w:rPr>
          <w:b/>
          <w:bCs/>
          <w:i/>
          <w:iCs/>
          <w:sz w:val="20"/>
          <w:szCs w:val="20"/>
        </w:rPr>
      </w:pPr>
      <w:r w:rsidRPr="00E02940">
        <w:rPr>
          <w:rFonts w:hint="eastAsia"/>
          <w:b/>
          <w:bCs/>
          <w:i/>
          <w:iCs/>
          <w:sz w:val="20"/>
          <w:szCs w:val="20"/>
        </w:rPr>
        <w:t>P</w:t>
      </w:r>
      <w:r w:rsidRPr="00E02940">
        <w:rPr>
          <w:b/>
          <w:bCs/>
          <w:i/>
          <w:iCs/>
          <w:sz w:val="20"/>
          <w:szCs w:val="20"/>
        </w:rPr>
        <w:t>roposal 3: Use a larger K than 8.5dB for ATG. For example, K = 12dB.</w:t>
      </w:r>
    </w:p>
    <w:p w14:paraId="595DFC33" w14:textId="47879CC1" w:rsidR="00E02940" w:rsidRDefault="00E02940" w:rsidP="00830EB0">
      <w:pPr>
        <w:spacing w:before="60"/>
        <w:jc w:val="both"/>
        <w:rPr>
          <w:rFonts w:eastAsia="等线"/>
          <w:sz w:val="20"/>
          <w:szCs w:val="20"/>
          <w:lang w:val="en-GB"/>
        </w:rPr>
      </w:pPr>
      <w:r>
        <w:rPr>
          <w:rFonts w:hint="eastAsia"/>
          <w:sz w:val="20"/>
          <w:szCs w:val="20"/>
        </w:rPr>
        <w:t>I</w:t>
      </w:r>
      <w:r>
        <w:rPr>
          <w:sz w:val="20"/>
          <w:szCs w:val="20"/>
        </w:rPr>
        <w:t>n last meeting, RAN4 had agreed to consider the UE frequency pre-compensation in both DL and UL, and 0.1ppm doppler assumption after pre-compensation was agreed.</w:t>
      </w:r>
      <w:r w:rsidR="00830EB0">
        <w:rPr>
          <w:rFonts w:hint="eastAsia"/>
          <w:sz w:val="20"/>
          <w:szCs w:val="20"/>
        </w:rPr>
        <w:t xml:space="preserve"> </w:t>
      </w:r>
      <w:r>
        <w:rPr>
          <w:rFonts w:eastAsia="等线"/>
          <w:sz w:val="20"/>
          <w:szCs w:val="20"/>
          <w:lang w:val="en-GB"/>
        </w:rPr>
        <w:t xml:space="preserve">Considering the ATG operating bands, which include n3, n34, n41, n1, n78 and n79, the </w:t>
      </w:r>
      <w:r w:rsidR="00830EB0">
        <w:rPr>
          <w:rFonts w:eastAsia="等线"/>
          <w:sz w:val="20"/>
          <w:szCs w:val="20"/>
          <w:lang w:val="en-GB"/>
        </w:rPr>
        <w:t>highest</w:t>
      </w:r>
      <w:r>
        <w:rPr>
          <w:rFonts w:eastAsia="等线"/>
          <w:sz w:val="20"/>
          <w:szCs w:val="20"/>
          <w:lang w:val="en-GB"/>
        </w:rPr>
        <w:t xml:space="preserve"> frequency </w:t>
      </w:r>
      <w:r w:rsidR="00830EB0">
        <w:rPr>
          <w:rFonts w:eastAsia="等线"/>
          <w:sz w:val="20"/>
          <w:szCs w:val="20"/>
          <w:lang w:val="en-GB"/>
        </w:rPr>
        <w:t>for FDD is 2170MHz, for TDD is 5000MHz. Therefore, we propose to consider doppler = 2</w:t>
      </w:r>
      <w:r w:rsidR="00BE0806">
        <w:rPr>
          <w:rFonts w:eastAsia="等线"/>
          <w:sz w:val="20"/>
          <w:szCs w:val="20"/>
          <w:lang w:val="en-GB"/>
        </w:rPr>
        <w:t>20</w:t>
      </w:r>
      <w:r w:rsidR="00830EB0">
        <w:rPr>
          <w:rFonts w:eastAsia="等线"/>
          <w:sz w:val="20"/>
          <w:szCs w:val="20"/>
          <w:lang w:val="en-GB"/>
        </w:rPr>
        <w:t>Hz for FDD, doppler = 500Hz for TDD.</w:t>
      </w:r>
    </w:p>
    <w:p w14:paraId="6D4412C4" w14:textId="4FFBEAAA" w:rsidR="00830EB0" w:rsidRPr="00603DE1" w:rsidRDefault="00830EB0" w:rsidP="00830EB0">
      <w:pPr>
        <w:spacing w:before="60"/>
        <w:jc w:val="both"/>
        <w:rPr>
          <w:b/>
          <w:bCs/>
          <w:i/>
          <w:iCs/>
          <w:sz w:val="20"/>
          <w:szCs w:val="20"/>
        </w:rPr>
      </w:pPr>
      <w:r w:rsidRPr="00603DE1">
        <w:rPr>
          <w:rFonts w:hint="eastAsia"/>
          <w:b/>
          <w:bCs/>
          <w:i/>
          <w:iCs/>
          <w:sz w:val="20"/>
          <w:szCs w:val="20"/>
        </w:rPr>
        <w:t>P</w:t>
      </w:r>
      <w:r w:rsidRPr="00603DE1">
        <w:rPr>
          <w:b/>
          <w:bCs/>
          <w:i/>
          <w:iCs/>
          <w:sz w:val="20"/>
          <w:szCs w:val="20"/>
        </w:rPr>
        <w:t>roposal</w:t>
      </w:r>
      <w:r w:rsidR="00603DE1">
        <w:rPr>
          <w:b/>
          <w:bCs/>
          <w:i/>
          <w:iCs/>
          <w:sz w:val="20"/>
          <w:szCs w:val="20"/>
        </w:rPr>
        <w:t xml:space="preserve"> </w:t>
      </w:r>
      <w:r w:rsidRPr="00603DE1">
        <w:rPr>
          <w:b/>
          <w:bCs/>
          <w:i/>
          <w:iCs/>
          <w:sz w:val="20"/>
          <w:szCs w:val="20"/>
        </w:rPr>
        <w:t xml:space="preserve">4: For FDD channel model, </w:t>
      </w:r>
      <w:r w:rsidR="00603DE1" w:rsidRPr="00603DE1">
        <w:rPr>
          <w:b/>
          <w:bCs/>
          <w:i/>
          <w:iCs/>
          <w:sz w:val="20"/>
          <w:szCs w:val="20"/>
        </w:rPr>
        <w:t>set Doppler as 2</w:t>
      </w:r>
      <w:r w:rsidR="00BE0806">
        <w:rPr>
          <w:b/>
          <w:bCs/>
          <w:i/>
          <w:iCs/>
          <w:sz w:val="20"/>
          <w:szCs w:val="20"/>
        </w:rPr>
        <w:t>20</w:t>
      </w:r>
      <w:r w:rsidR="00603DE1" w:rsidRPr="00603DE1">
        <w:rPr>
          <w:b/>
          <w:bCs/>
          <w:i/>
          <w:iCs/>
          <w:sz w:val="20"/>
          <w:szCs w:val="20"/>
        </w:rPr>
        <w:t>Hz, for TDD channel model, set Doppler as 500Hz.</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6"/>
      <w:bookmarkEnd w:id="7"/>
    </w:p>
    <w:p w14:paraId="44238BEB" w14:textId="77777777" w:rsidR="00CB588C" w:rsidRPr="00E02940" w:rsidRDefault="00CB588C" w:rsidP="00CB588C">
      <w:pPr>
        <w:spacing w:before="60"/>
        <w:jc w:val="both"/>
        <w:rPr>
          <w:b/>
          <w:bCs/>
          <w:i/>
          <w:iCs/>
          <w:sz w:val="20"/>
          <w:szCs w:val="20"/>
        </w:rPr>
      </w:pPr>
      <w:r w:rsidRPr="00E02940">
        <w:rPr>
          <w:rFonts w:hint="eastAsia"/>
          <w:b/>
          <w:bCs/>
          <w:i/>
          <w:iCs/>
          <w:sz w:val="20"/>
          <w:szCs w:val="20"/>
        </w:rPr>
        <w:t>P</w:t>
      </w:r>
      <w:r w:rsidRPr="00E02940">
        <w:rPr>
          <w:b/>
          <w:bCs/>
          <w:i/>
          <w:iCs/>
          <w:sz w:val="20"/>
          <w:szCs w:val="20"/>
        </w:rPr>
        <w:t>roposal 1: Take NTN-TDL-C as the starting point for ATG channel model</w:t>
      </w:r>
    </w:p>
    <w:p w14:paraId="22BB7CF5" w14:textId="77777777" w:rsidR="00CB588C" w:rsidRPr="00E02940" w:rsidRDefault="00CB588C" w:rsidP="00CB588C">
      <w:pPr>
        <w:spacing w:before="60"/>
        <w:jc w:val="both"/>
        <w:rPr>
          <w:b/>
          <w:bCs/>
          <w:i/>
          <w:iCs/>
          <w:sz w:val="20"/>
          <w:szCs w:val="20"/>
        </w:rPr>
      </w:pPr>
      <w:r w:rsidRPr="00E02940">
        <w:rPr>
          <w:rFonts w:hint="eastAsia"/>
          <w:b/>
          <w:bCs/>
          <w:i/>
          <w:iCs/>
          <w:sz w:val="20"/>
          <w:szCs w:val="20"/>
        </w:rPr>
        <w:t>P</w:t>
      </w:r>
      <w:r w:rsidRPr="00E02940">
        <w:rPr>
          <w:b/>
          <w:bCs/>
          <w:i/>
          <w:iCs/>
          <w:sz w:val="20"/>
          <w:szCs w:val="20"/>
        </w:rPr>
        <w:t>roposal 2: Reuse DS=5ns and DS resolution = 5ns for ATG</w:t>
      </w:r>
    </w:p>
    <w:p w14:paraId="0DB57A87" w14:textId="77777777" w:rsidR="00CB588C" w:rsidRPr="00E02940" w:rsidRDefault="00CB588C" w:rsidP="00CB588C">
      <w:pPr>
        <w:spacing w:before="60"/>
        <w:jc w:val="both"/>
        <w:rPr>
          <w:b/>
          <w:bCs/>
          <w:i/>
          <w:iCs/>
          <w:sz w:val="20"/>
          <w:szCs w:val="20"/>
        </w:rPr>
      </w:pPr>
      <w:r w:rsidRPr="00E02940">
        <w:rPr>
          <w:rFonts w:hint="eastAsia"/>
          <w:b/>
          <w:bCs/>
          <w:i/>
          <w:iCs/>
          <w:sz w:val="20"/>
          <w:szCs w:val="20"/>
        </w:rPr>
        <w:t>P</w:t>
      </w:r>
      <w:r w:rsidRPr="00E02940">
        <w:rPr>
          <w:b/>
          <w:bCs/>
          <w:i/>
          <w:iCs/>
          <w:sz w:val="20"/>
          <w:szCs w:val="20"/>
        </w:rPr>
        <w:t>roposal 3: Use a larger K than 8.5dB for ATG. For example, K = 12dB.</w:t>
      </w:r>
    </w:p>
    <w:p w14:paraId="586345BF" w14:textId="77777777" w:rsidR="00CB588C" w:rsidRPr="00603DE1" w:rsidRDefault="00CB588C" w:rsidP="00CB588C">
      <w:pPr>
        <w:spacing w:before="60"/>
        <w:jc w:val="both"/>
        <w:rPr>
          <w:b/>
          <w:bCs/>
          <w:i/>
          <w:iCs/>
          <w:sz w:val="20"/>
          <w:szCs w:val="20"/>
        </w:rPr>
      </w:pPr>
      <w:r w:rsidRPr="00603DE1">
        <w:rPr>
          <w:rFonts w:hint="eastAsia"/>
          <w:b/>
          <w:bCs/>
          <w:i/>
          <w:iCs/>
          <w:sz w:val="20"/>
          <w:szCs w:val="20"/>
        </w:rPr>
        <w:t>P</w:t>
      </w:r>
      <w:r w:rsidRPr="00603DE1">
        <w:rPr>
          <w:b/>
          <w:bCs/>
          <w:i/>
          <w:iCs/>
          <w:sz w:val="20"/>
          <w:szCs w:val="20"/>
        </w:rPr>
        <w:t>roposal</w:t>
      </w:r>
      <w:r>
        <w:rPr>
          <w:b/>
          <w:bCs/>
          <w:i/>
          <w:iCs/>
          <w:sz w:val="20"/>
          <w:szCs w:val="20"/>
        </w:rPr>
        <w:t xml:space="preserve"> </w:t>
      </w:r>
      <w:r w:rsidRPr="00603DE1">
        <w:rPr>
          <w:b/>
          <w:bCs/>
          <w:i/>
          <w:iCs/>
          <w:sz w:val="20"/>
          <w:szCs w:val="20"/>
        </w:rPr>
        <w:t>4: For FDD channel model, set Doppler as 217Hz, for TDD channel model, set Doppler as 500Hz.</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E90BF17" w14:textId="4527B67A" w:rsidR="00DD4DDC" w:rsidRDefault="00DD4DDC" w:rsidP="0027626D">
      <w:pPr>
        <w:rPr>
          <w:sz w:val="20"/>
          <w:szCs w:val="20"/>
          <w:lang w:val="en-GB"/>
        </w:rPr>
      </w:pPr>
      <w:r>
        <w:rPr>
          <w:rFonts w:hint="eastAsia"/>
          <w:sz w:val="20"/>
          <w:szCs w:val="20"/>
          <w:lang w:val="en-GB"/>
        </w:rPr>
        <w:t>[</w:t>
      </w:r>
      <w:r>
        <w:rPr>
          <w:sz w:val="20"/>
          <w:szCs w:val="20"/>
          <w:lang w:val="en-GB"/>
        </w:rPr>
        <w:t xml:space="preserve">1] </w:t>
      </w:r>
      <w:r w:rsidRPr="00DD4DDC">
        <w:rPr>
          <w:sz w:val="20"/>
          <w:szCs w:val="20"/>
          <w:lang w:val="en-GB"/>
        </w:rPr>
        <w:t>R4-2302996</w:t>
      </w:r>
      <w:r>
        <w:rPr>
          <w:sz w:val="20"/>
          <w:szCs w:val="20"/>
          <w:lang w:val="en-GB"/>
        </w:rPr>
        <w:t xml:space="preserve">, </w:t>
      </w:r>
      <w:r w:rsidRPr="00DD4DDC">
        <w:rPr>
          <w:sz w:val="20"/>
          <w:szCs w:val="20"/>
          <w:lang w:val="en-GB"/>
        </w:rPr>
        <w:t>WF for ATG demodulation requirements</w:t>
      </w:r>
      <w:r>
        <w:rPr>
          <w:sz w:val="20"/>
          <w:szCs w:val="20"/>
          <w:lang w:val="en-GB"/>
        </w:rPr>
        <w:t>, CMCC</w:t>
      </w:r>
    </w:p>
    <w:p w14:paraId="30CC1926" w14:textId="73CED02B" w:rsidR="00B76E44" w:rsidRDefault="00B76E44" w:rsidP="0027626D">
      <w:pPr>
        <w:rPr>
          <w:sz w:val="20"/>
          <w:szCs w:val="20"/>
          <w:lang w:val="en-GB"/>
        </w:rPr>
      </w:pPr>
      <w:r>
        <w:rPr>
          <w:rFonts w:hint="eastAsia"/>
          <w:sz w:val="20"/>
          <w:szCs w:val="20"/>
          <w:lang w:val="en-GB"/>
        </w:rPr>
        <w:t>[</w:t>
      </w:r>
      <w:r>
        <w:rPr>
          <w:sz w:val="20"/>
          <w:szCs w:val="20"/>
          <w:lang w:val="en-GB"/>
        </w:rPr>
        <w:t xml:space="preserve">2] R4-2220542, </w:t>
      </w:r>
      <w:r w:rsidRPr="00B76E44">
        <w:rPr>
          <w:sz w:val="20"/>
          <w:szCs w:val="20"/>
          <w:lang w:val="en-GB"/>
        </w:rPr>
        <w:t>WF on ATG co-existence evaluation</w:t>
      </w:r>
      <w:r>
        <w:rPr>
          <w:sz w:val="20"/>
          <w:szCs w:val="20"/>
          <w:lang w:val="en-GB"/>
        </w:rPr>
        <w:t>, CMCC</w:t>
      </w:r>
    </w:p>
    <w:p w14:paraId="772AD4A1" w14:textId="24F560AB" w:rsidR="002513F6" w:rsidRPr="0027626D" w:rsidRDefault="002513F6">
      <w:pPr>
        <w:rPr>
          <w:sz w:val="20"/>
          <w:szCs w:val="20"/>
          <w:lang w:val="en-GB"/>
        </w:rPr>
      </w:pPr>
    </w:p>
    <w:sectPr w:rsidR="002513F6" w:rsidRPr="0027626D"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EDD8" w14:textId="77777777" w:rsidR="00124D3A" w:rsidRDefault="00124D3A" w:rsidP="007854C6">
      <w:r>
        <w:separator/>
      </w:r>
    </w:p>
  </w:endnote>
  <w:endnote w:type="continuationSeparator" w:id="0">
    <w:p w14:paraId="7569ACB4" w14:textId="77777777" w:rsidR="00124D3A" w:rsidRDefault="00124D3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A968" w14:textId="77777777" w:rsidR="00124D3A" w:rsidRDefault="00124D3A" w:rsidP="007854C6">
      <w:r>
        <w:separator/>
      </w:r>
    </w:p>
  </w:footnote>
  <w:footnote w:type="continuationSeparator" w:id="0">
    <w:p w14:paraId="70AF3FE2" w14:textId="77777777" w:rsidR="00124D3A" w:rsidRDefault="00124D3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9"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5"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16"/>
  </w:num>
  <w:num w:numId="2" w16cid:durableId="1872185180">
    <w:abstractNumId w:val="3"/>
  </w:num>
  <w:num w:numId="3" w16cid:durableId="1337423769">
    <w:abstractNumId w:val="14"/>
  </w:num>
  <w:num w:numId="4" w16cid:durableId="990910816">
    <w:abstractNumId w:val="1"/>
  </w:num>
  <w:num w:numId="5" w16cid:durableId="946813287">
    <w:abstractNumId w:val="8"/>
  </w:num>
  <w:num w:numId="6" w16cid:durableId="1235122676">
    <w:abstractNumId w:val="5"/>
  </w:num>
  <w:num w:numId="7" w16cid:durableId="165247451">
    <w:abstractNumId w:val="2"/>
  </w:num>
  <w:num w:numId="8" w16cid:durableId="567498437">
    <w:abstractNumId w:val="15"/>
  </w:num>
  <w:num w:numId="9" w16cid:durableId="1518033491">
    <w:abstractNumId w:val="13"/>
  </w:num>
  <w:num w:numId="10" w16cid:durableId="1803578380">
    <w:abstractNumId w:val="12"/>
  </w:num>
  <w:num w:numId="11" w16cid:durableId="1422414702">
    <w:abstractNumId w:val="9"/>
  </w:num>
  <w:num w:numId="12" w16cid:durableId="1207373018">
    <w:abstractNumId w:val="6"/>
  </w:num>
  <w:num w:numId="13" w16cid:durableId="1264453336">
    <w:abstractNumId w:val="7"/>
  </w:num>
  <w:num w:numId="14" w16cid:durableId="1910996516">
    <w:abstractNumId w:val="4"/>
  </w:num>
  <w:num w:numId="15" w16cid:durableId="1494567936">
    <w:abstractNumId w:val="11"/>
  </w:num>
  <w:num w:numId="16" w16cid:durableId="1847596626">
    <w:abstractNumId w:val="0"/>
  </w:num>
  <w:num w:numId="17" w16cid:durableId="375013450">
    <w:abstractNumId w:val="10"/>
  </w:num>
  <w:num w:numId="18" w16cid:durableId="2172053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A21"/>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235"/>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4D3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6E5"/>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B24"/>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A99"/>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2A6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5F10"/>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11B"/>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DE1"/>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55"/>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132"/>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EB0"/>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037"/>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64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1C3"/>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F8D"/>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2D9"/>
    <w:rsid w:val="00B74D24"/>
    <w:rsid w:val="00B76449"/>
    <w:rsid w:val="00B76744"/>
    <w:rsid w:val="00B76E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10A"/>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80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3CD"/>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66F"/>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88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4FDB"/>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015"/>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DDC"/>
    <w:rsid w:val="00DD4EC2"/>
    <w:rsid w:val="00DD512A"/>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940"/>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539"/>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BB7"/>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52A"/>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A67"/>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88C"/>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val="x-none"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7176</TotalTime>
  <Pages>1</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113</cp:revision>
  <dcterms:created xsi:type="dcterms:W3CDTF">2022-08-08T10:51:00Z</dcterms:created>
  <dcterms:modified xsi:type="dcterms:W3CDTF">2023-04-10T06:17:00Z</dcterms:modified>
</cp:coreProperties>
</file>